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Objection to Admissibility for Secondary Evidence a matter involving continuing conduct and repeated events</w:t>
      </w:r>
    </w:p>
    <w:p>
      <w:pPr>
        <w:spacing w:before="0" w:after="160" w:line="269" w:lineRule="auto"/>
        <w:jc w:val="center"/>
      </w:pPr>
      <w:r>
        <w:rPr>
          <w:rFonts w:ascii="Times New Roman" w:hAnsi="Times New Roman"/>
          <w:b w:val="0"/>
          <w:i w:val="0"/>
          <w:color w:val="000000"/>
          <w:sz w:val="18"/>
        </w:rPr>
        <w:t>BSA Law drafts  |  Secondary Evidence  |  Resource ID LAW-03-05-018</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objection to admissibility to identify the proposed material, its relevance, source, authenticity and method of proof, with a fair opportunity for objection in a matter concerning Secondary Evidence.</w:t>
      </w:r>
    </w:p>
    <w:p>
      <w:pPr>
        <w:spacing w:before="0" w:after="100" w:line="269" w:lineRule="auto"/>
      </w:pPr>
      <w:r>
        <w:rPr>
          <w:rFonts w:ascii="Times New Roman" w:hAnsi="Times New Roman"/>
          <w:b w:val="0"/>
          <w:i w:val="0"/>
          <w:color w:val="000000"/>
          <w:sz w:val="22"/>
        </w:rPr>
        <w:t>Matter profile: a matter involving continuing conduct and repeated events. Use a dated incident sequence. Separate what the maker personally knows from information received from another source.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Secondary Evidence,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objection to admissibility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LAW-03-05-018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Objection to Admissibility for Secondary Evidence a matter involving continuing conduct and repeated events</dc:title>
  <dc:subject>Original editable Indian legal drafting framework</dc:subject>
  <dc:creator>Legal Resource Library</dc:creator>
  <cp:keywords>BSA Law drafts; Secondary Evidence;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